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b w:val="1"/>
        </w:rPr>
      </w:pPr>
      <w:hyperlink r:id="rId7">
        <w:r w:rsidDel="00000000" w:rsidR="00000000" w:rsidRPr="00000000">
          <w:rPr>
            <w:b w:val="1"/>
            <w:color w:val="1155cc"/>
            <w:u w:val="single"/>
            <w:rtl w:val="0"/>
          </w:rPr>
          <w:t xml:space="preserve">Tournament Floor Rules v3.7</w:t>
        </w:r>
      </w:hyperlink>
      <w:r w:rsidDel="00000000" w:rsidR="00000000" w:rsidRPr="00000000">
        <w:rPr>
          <w:rtl w:val="0"/>
        </w:rPr>
      </w:r>
    </w:p>
    <w:p w:rsidR="00000000" w:rsidDel="00000000" w:rsidP="00000000" w:rsidRDefault="00000000" w:rsidRPr="00000000" w14:paraId="00000005">
      <w:pPr>
        <w:pageBreakBefore w:val="0"/>
        <w:numPr>
          <w:ilvl w:val="0"/>
          <w:numId w:val="3"/>
        </w:numPr>
        <w:ind w:left="720" w:hanging="360"/>
        <w:rPr>
          <w:u w:val="none"/>
        </w:rPr>
      </w:pPr>
      <w:r w:rsidDel="00000000" w:rsidR="00000000" w:rsidRPr="00000000">
        <w:rPr>
          <w:rtl w:val="0"/>
        </w:rPr>
        <w:t xml:space="preserve">Brought Pre-Game Actions into sync with the Comprehensive Rules</w:t>
      </w:r>
    </w:p>
    <w:p w:rsidR="00000000" w:rsidDel="00000000" w:rsidP="00000000" w:rsidRDefault="00000000" w:rsidRPr="00000000" w14:paraId="00000006">
      <w:pPr>
        <w:pageBreakBefore w:val="0"/>
        <w:numPr>
          <w:ilvl w:val="0"/>
          <w:numId w:val="3"/>
        </w:numPr>
        <w:ind w:left="720" w:hanging="360"/>
        <w:rPr>
          <w:u w:val="none"/>
        </w:rPr>
      </w:pPr>
      <w:r w:rsidDel="00000000" w:rsidR="00000000" w:rsidRPr="00000000">
        <w:rPr>
          <w:rtl w:val="0"/>
        </w:rPr>
        <w:t xml:space="preserve">Changed end of match procedures to give both players another turn if soft time is called on the second player’s turn. This reduces but does not eliminate a significant advantage for the second player in terms of the first player’s ability to react during the final turn.</w:t>
      </w:r>
    </w:p>
    <w:p w:rsidR="00000000" w:rsidDel="00000000" w:rsidP="00000000" w:rsidRDefault="00000000" w:rsidRPr="00000000" w14:paraId="00000007">
      <w:pPr>
        <w:pageBreakBefore w:val="0"/>
        <w:numPr>
          <w:ilvl w:val="1"/>
          <w:numId w:val="3"/>
        </w:numPr>
        <w:ind w:left="1440" w:hanging="360"/>
        <w:rPr>
          <w:u w:val="none"/>
        </w:rPr>
      </w:pPr>
      <w:r w:rsidDel="00000000" w:rsidR="00000000" w:rsidRPr="00000000">
        <w:rPr>
          <w:rtl w:val="0"/>
        </w:rPr>
        <w:t xml:space="preserve">The mnemonic is: the second player will always get to </w:t>
      </w:r>
      <w:r w:rsidDel="00000000" w:rsidR="00000000" w:rsidRPr="00000000">
        <w:rPr>
          <w:b w:val="1"/>
          <w:i w:val="1"/>
          <w:rtl w:val="0"/>
        </w:rPr>
        <w:t xml:space="preserve">start</w:t>
      </w:r>
      <w:r w:rsidDel="00000000" w:rsidR="00000000" w:rsidRPr="00000000">
        <w:rPr>
          <w:b w:val="1"/>
          <w:rtl w:val="0"/>
        </w:rPr>
        <w:t xml:space="preserve"> </w:t>
      </w:r>
      <w:r w:rsidDel="00000000" w:rsidR="00000000" w:rsidRPr="00000000">
        <w:rPr>
          <w:rtl w:val="0"/>
        </w:rPr>
        <w:t xml:space="preserve">one turn after soft time is called</w:t>
      </w:r>
    </w:p>
    <w:p w:rsidR="00000000" w:rsidDel="00000000" w:rsidP="00000000" w:rsidRDefault="00000000" w:rsidRPr="00000000" w14:paraId="00000008">
      <w:pPr>
        <w:pageBreakBefore w:val="0"/>
        <w:numPr>
          <w:ilvl w:val="0"/>
          <w:numId w:val="3"/>
        </w:numPr>
        <w:ind w:left="720" w:hanging="360"/>
        <w:rPr>
          <w:u w:val="none"/>
        </w:rPr>
      </w:pPr>
      <w:r w:rsidDel="00000000" w:rsidR="00000000" w:rsidRPr="00000000">
        <w:rPr>
          <w:rtl w:val="0"/>
        </w:rPr>
        <w:t xml:space="preserve">Codified Pauper as an official format variant</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Pauper has long been a semi-official format with a handful of bans established by community consensus to address the most problematic cards. Historically, this has been limited to Pinkie Pie, Grump and this ban stands in the Premiere Pauper format for the same reasons it was introduced originally: insufficient answers to her available in the format.</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In Harmony Pauper, we feel that there are sufficient answers to Pinkie Pie, Grump with the introduction of Dilemmas and other cards in later sets so she is no longer banned. There are two cards, Juggling Routine and Trenderhoof, Travel Writer, which we feel represent significant threats to the health of the format and will be added to the ban list.</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b w:val="1"/>
        </w:rPr>
      </w:pPr>
      <w:hyperlink r:id="rId8">
        <w:r w:rsidDel="00000000" w:rsidR="00000000" w:rsidRPr="00000000">
          <w:rPr>
            <w:b w:val="1"/>
            <w:color w:val="1155cc"/>
            <w:u w:val="single"/>
            <w:rtl w:val="0"/>
          </w:rPr>
          <w:t xml:space="preserve">Official Card Reference v11.2</w:t>
        </w:r>
      </w:hyperlink>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Several small corrections to correct issues with transcription of L&amp;L cards or programmatic generation of the OCR:</w:t>
      </w:r>
    </w:p>
    <w:p w:rsidR="00000000" w:rsidDel="00000000" w:rsidP="00000000" w:rsidRDefault="00000000" w:rsidRPr="00000000" w14:paraId="00000010">
      <w:pPr>
        <w:pageBreakBefore w:val="0"/>
        <w:numPr>
          <w:ilvl w:val="0"/>
          <w:numId w:val="1"/>
        </w:numPr>
        <w:ind w:left="720" w:hanging="360"/>
      </w:pPr>
      <w:r w:rsidDel="00000000" w:rsidR="00000000" w:rsidRPr="00000000">
        <w:rPr>
          <w:rtl w:val="0"/>
        </w:rPr>
        <w:t xml:space="preserve">Mr. and Mrs. Hoofington should use &amp;</w:t>
      </w:r>
    </w:p>
    <w:p w:rsidR="00000000" w:rsidDel="00000000" w:rsidP="00000000" w:rsidRDefault="00000000" w:rsidRPr="00000000" w14:paraId="00000011">
      <w:pPr>
        <w:pageBreakBefore w:val="0"/>
        <w:numPr>
          <w:ilvl w:val="0"/>
          <w:numId w:val="1"/>
        </w:numPr>
        <w:ind w:left="720" w:hanging="360"/>
      </w:pPr>
      <w:r w:rsidDel="00000000" w:rsidR="00000000" w:rsidRPr="00000000">
        <w:rPr>
          <w:rtl w:val="0"/>
        </w:rPr>
        <w:t xml:space="preserve">Normalize order of colors and play requirements for all multicolor cards</w:t>
      </w:r>
    </w:p>
    <w:p w:rsidR="00000000" w:rsidDel="00000000" w:rsidP="00000000" w:rsidRDefault="00000000" w:rsidRPr="00000000" w14:paraId="00000012">
      <w:pPr>
        <w:pageBreakBefore w:val="0"/>
        <w:numPr>
          <w:ilvl w:val="0"/>
          <w:numId w:val="1"/>
        </w:numPr>
        <w:ind w:left="720" w:hanging="360"/>
      </w:pPr>
      <w:r w:rsidDel="00000000" w:rsidR="00000000" w:rsidRPr="00000000">
        <w:rPr>
          <w:rtl w:val="0"/>
        </w:rPr>
        <w:t xml:space="preserve">Workout Buddy has cost and req transposed</w:t>
      </w:r>
    </w:p>
    <w:p w:rsidR="00000000" w:rsidDel="00000000" w:rsidP="00000000" w:rsidRDefault="00000000" w:rsidRPr="00000000" w14:paraId="00000013">
      <w:pPr>
        <w:pageBreakBefore w:val="0"/>
        <w:numPr>
          <w:ilvl w:val="0"/>
          <w:numId w:val="1"/>
        </w:numPr>
        <w:ind w:left="720" w:hanging="360"/>
      </w:pPr>
      <w:r w:rsidDel="00000000" w:rsidR="00000000" w:rsidRPr="00000000">
        <w:rPr>
          <w:rtl w:val="0"/>
        </w:rPr>
        <w:t xml:space="preserve">Flavor text for Halfway Across Equestria was broken</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b w:val="1"/>
        </w:rPr>
      </w:pPr>
      <w:hyperlink r:id="rId9">
        <w:r w:rsidDel="00000000" w:rsidR="00000000" w:rsidRPr="00000000">
          <w:rPr>
            <w:b w:val="1"/>
            <w:color w:val="1155cc"/>
            <w:u w:val="single"/>
            <w:rtl w:val="0"/>
          </w:rPr>
          <w:t xml:space="preserve">Comprehensive Rules v3.11</w:t>
        </w:r>
      </w:hyperlink>
      <w:r w:rsidDel="00000000" w:rsidR="00000000" w:rsidRPr="00000000">
        <w:rPr>
          <w:rtl w:val="0"/>
        </w:rPr>
      </w:r>
    </w:p>
    <w:p w:rsidR="00000000" w:rsidDel="00000000" w:rsidP="00000000" w:rsidRDefault="00000000" w:rsidRPr="00000000" w14:paraId="00000016">
      <w:pPr>
        <w:pageBreakBefore w:val="0"/>
        <w:numPr>
          <w:ilvl w:val="0"/>
          <w:numId w:val="2"/>
        </w:numPr>
        <w:ind w:left="720" w:hanging="360"/>
      </w:pPr>
      <w:r w:rsidDel="00000000" w:rsidR="00000000" w:rsidRPr="00000000">
        <w:rPr>
          <w:rtl w:val="0"/>
        </w:rPr>
        <w:t xml:space="preserve">Corrected a contradiction regarding publicity of cards in the Banished Zones in (407.1).</w:t>
      </w:r>
    </w:p>
    <w:p w:rsidR="00000000" w:rsidDel="00000000" w:rsidP="00000000" w:rsidRDefault="00000000" w:rsidRPr="00000000" w14:paraId="00000017">
      <w:pPr>
        <w:pageBreakBefore w:val="0"/>
        <w:numPr>
          <w:ilvl w:val="0"/>
          <w:numId w:val="2"/>
        </w:numPr>
        <w:ind w:left="720" w:hanging="360"/>
      </w:pPr>
      <w:r w:rsidDel="00000000" w:rsidR="00000000" w:rsidRPr="00000000">
        <w:rPr>
          <w:rtl w:val="0"/>
        </w:rPr>
        <w:t xml:space="preserve">Clarified processing of replacement modifiers and their interaction with triggers in (710.1).</w:t>
      </w:r>
    </w:p>
    <w:p w:rsidR="00000000" w:rsidDel="00000000" w:rsidP="00000000" w:rsidRDefault="00000000" w:rsidRPr="00000000" w14:paraId="00000018">
      <w:pPr>
        <w:pageBreakBefore w:val="0"/>
        <w:numPr>
          <w:ilvl w:val="0"/>
          <w:numId w:val="2"/>
        </w:numPr>
        <w:ind w:left="720" w:hanging="360"/>
      </w:pPr>
      <w:r w:rsidDel="00000000" w:rsidR="00000000" w:rsidRPr="00000000">
        <w:rPr>
          <w:rtl w:val="0"/>
        </w:rPr>
        <w:t xml:space="preserve">Allow the turn player to use an Immediate to open a priority window in (512.6).</w:t>
      </w:r>
    </w:p>
    <w:p w:rsidR="00000000" w:rsidDel="00000000" w:rsidP="00000000" w:rsidRDefault="00000000" w:rsidRPr="00000000" w14:paraId="00000019">
      <w:pPr>
        <w:pageBreakBefore w:val="0"/>
        <w:numPr>
          <w:ilvl w:val="0"/>
          <w:numId w:val="2"/>
        </w:numPr>
        <w:ind w:left="720" w:hanging="360"/>
      </w:pPr>
      <w:r w:rsidDel="00000000" w:rsidR="00000000" w:rsidRPr="00000000">
        <w:rPr>
          <w:rtl w:val="0"/>
        </w:rPr>
        <w:t xml:space="preserve">Reworded (516.3) to remove ambiguity about which cards are concerned.</w:t>
      </w:r>
    </w:p>
    <w:p w:rsidR="00000000" w:rsidDel="00000000" w:rsidP="00000000" w:rsidRDefault="00000000" w:rsidRPr="00000000" w14:paraId="0000001A">
      <w:pPr>
        <w:pageBreakBefore w:val="0"/>
        <w:numPr>
          <w:ilvl w:val="0"/>
          <w:numId w:val="2"/>
        </w:numPr>
        <w:ind w:left="720" w:hanging="360"/>
      </w:pPr>
      <w:r w:rsidDel="00000000" w:rsidR="00000000" w:rsidRPr="00000000">
        <w:rPr>
          <w:rtl w:val="0"/>
        </w:rPr>
        <w:t xml:space="preserve">Added clarification to (711.2) for costs that occur as part of a replacement modifier.</w:t>
      </w:r>
    </w:p>
    <w:p w:rsidR="00000000" w:rsidDel="00000000" w:rsidP="00000000" w:rsidRDefault="00000000" w:rsidRPr="00000000" w14:paraId="0000001B">
      <w:pPr>
        <w:pageBreakBefore w:val="0"/>
        <w:numPr>
          <w:ilvl w:val="0"/>
          <w:numId w:val="2"/>
        </w:numPr>
        <w:ind w:left="720" w:hanging="360"/>
        <w:rPr>
          <w:u w:val="none"/>
        </w:rPr>
      </w:pPr>
      <w:r w:rsidDel="00000000" w:rsidR="00000000" w:rsidRPr="00000000">
        <w:rPr>
          <w:rtl w:val="0"/>
        </w:rPr>
        <w:t xml:space="preserve">Brought (102) into sync with the Tournament Floor Rules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C3UKhg_I_MLnHEeMzB8Nxg2I06KfDu7l"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rive.google.com/open?id=1XxvxmMixpv5_I0qHOiWCzKsqlhPH2F1G" TargetMode="External"/><Relationship Id="rId8" Type="http://schemas.openxmlformats.org/officeDocument/2006/relationships/hyperlink" Target="https://drive.google.com/open?id=1As7vml_qdR25AlrNsNFcTbi7s8l9l4B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